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56BB" w14:textId="77777777" w:rsidR="00FE53A0" w:rsidRPr="00302B85" w:rsidRDefault="00FE53A0" w:rsidP="00C8606E">
      <w:r w:rsidRPr="00302B85">
        <w:t>Navn</w:t>
      </w:r>
    </w:p>
    <w:p w14:paraId="50074509" w14:textId="77777777" w:rsidR="00FE53A0" w:rsidRPr="00302B85" w:rsidRDefault="00FE53A0" w:rsidP="00C8606E">
      <w:r w:rsidRPr="00302B85">
        <w:t>Bústaður</w:t>
      </w:r>
    </w:p>
    <w:p w14:paraId="41F042E9" w14:textId="77777777" w:rsidR="00FE53A0" w:rsidRPr="00302B85" w:rsidRDefault="00FE53A0" w:rsidP="00C8606E">
      <w:r w:rsidRPr="00302B85">
        <w:t>Bygd/býur</w:t>
      </w:r>
    </w:p>
    <w:p w14:paraId="7AB592DA" w14:textId="7D7FD499" w:rsidR="00DF1AB4" w:rsidRPr="00302B85" w:rsidRDefault="00DF1AB4" w:rsidP="0764542C">
      <w:pPr>
        <w:tabs>
          <w:tab w:val="right" w:pos="9356"/>
        </w:tabs>
      </w:pPr>
      <w:r w:rsidRPr="00302B85">
        <w:tab/>
      </w:r>
      <w:proofErr w:type="spellStart"/>
      <w:r w:rsidR="00987F1C">
        <w:t>Máls</w:t>
      </w:r>
      <w:r w:rsidR="00587A4A" w:rsidRPr="00302B85">
        <w:t>nr</w:t>
      </w:r>
      <w:proofErr w:type="spellEnd"/>
      <w:r w:rsidR="00587A4A" w:rsidRPr="00302B85">
        <w:t>.</w:t>
      </w:r>
      <w:r w:rsidR="007F3691" w:rsidRPr="00302B85">
        <w:t xml:space="preserve">: </w:t>
      </w:r>
      <w:proofErr w:type="spellStart"/>
      <w:r w:rsidR="007F3691" w:rsidRPr="008A0A33">
        <w:rPr>
          <w:highlight w:val="yellow"/>
        </w:rPr>
        <w:t>xxxxxx</w:t>
      </w:r>
      <w:proofErr w:type="spellEnd"/>
      <w:r w:rsidR="00B15AAA" w:rsidRPr="00302B85">
        <w:t xml:space="preserve"> </w:t>
      </w:r>
      <w:r w:rsidRPr="00302B85">
        <w:tab/>
      </w:r>
      <w:r w:rsidR="007F3691" w:rsidRPr="00302B85">
        <w:t>H</w:t>
      </w:r>
      <w:r w:rsidRPr="00302B85">
        <w:t xml:space="preserve">in </w:t>
      </w:r>
      <w:proofErr w:type="spellStart"/>
      <w:r w:rsidR="00173109">
        <w:t>dd</w:t>
      </w:r>
      <w:proofErr w:type="spellEnd"/>
      <w:r w:rsidRPr="00302B85">
        <w:t xml:space="preserve">. </w:t>
      </w:r>
      <w:r w:rsidR="00173109">
        <w:rPr>
          <w:highlight w:val="yellow"/>
        </w:rPr>
        <w:t>mm.</w:t>
      </w:r>
      <w:r w:rsidRPr="008A0A33">
        <w:rPr>
          <w:highlight w:val="yellow"/>
        </w:rPr>
        <w:t xml:space="preserve"> </w:t>
      </w:r>
      <w:proofErr w:type="spellStart"/>
      <w:r w:rsidRPr="008A0A33">
        <w:rPr>
          <w:highlight w:val="yellow"/>
        </w:rPr>
        <w:t>20</w:t>
      </w:r>
      <w:r w:rsidR="00FE53A0" w:rsidRPr="008A0A33">
        <w:rPr>
          <w:highlight w:val="yellow"/>
        </w:rPr>
        <w:t>2x</w:t>
      </w:r>
      <w:proofErr w:type="spellEnd"/>
    </w:p>
    <w:p w14:paraId="22CFC1B0" w14:textId="4B05FEE2" w:rsidR="00DF1AB4" w:rsidRPr="00302B85" w:rsidRDefault="00C44C88" w:rsidP="00C8606E">
      <w:pPr>
        <w:pStyle w:val="Overskrift1"/>
        <w:spacing w:before="960" w:after="360"/>
      </w:pPr>
      <w:r>
        <w:t>Ætlanarskriv</w:t>
      </w:r>
      <w:r w:rsidR="00862BFB" w:rsidRPr="00472AE6">
        <w:t xml:space="preserve"> um </w:t>
      </w:r>
      <w:r w:rsidR="00862BFB" w:rsidRPr="00302B85">
        <w:t xml:space="preserve">boð </w:t>
      </w:r>
      <w:r w:rsidR="007B5FF4" w:rsidRPr="00302B85">
        <w:t>um at taka oljutanga úr nýtslu</w:t>
      </w:r>
    </w:p>
    <w:p w14:paraId="0A9CAE4F" w14:textId="5BD3541A" w:rsidR="001A79A8" w:rsidRDefault="00DF1AB4" w:rsidP="001A79A8">
      <w:pPr>
        <w:spacing w:line="276" w:lineRule="auto"/>
        <w:jc w:val="both"/>
      </w:pPr>
      <w:r>
        <w:t>Sambært skrásetingini</w:t>
      </w:r>
      <w:r w:rsidR="00303ADE">
        <w:t xml:space="preserve"> av oljutangum í </w:t>
      </w:r>
      <w:proofErr w:type="spellStart"/>
      <w:r w:rsidR="00303ADE" w:rsidRPr="6E515197">
        <w:rPr>
          <w:highlight w:val="yellow"/>
        </w:rPr>
        <w:t>xxx</w:t>
      </w:r>
      <w:proofErr w:type="spellEnd"/>
      <w:r w:rsidR="00303ADE">
        <w:t xml:space="preserve"> kommunu</w:t>
      </w:r>
      <w:r w:rsidR="00FD7E27">
        <w:t xml:space="preserve"> </w:t>
      </w:r>
      <w:r w:rsidR="00303ADE">
        <w:t>er</w:t>
      </w:r>
      <w:r>
        <w:t xml:space="preserve"> oljutang</w:t>
      </w:r>
      <w:r w:rsidR="00303ADE">
        <w:t>i tygara</w:t>
      </w:r>
      <w:r>
        <w:t xml:space="preserve"> á </w:t>
      </w:r>
      <w:proofErr w:type="spellStart"/>
      <w:r w:rsidRPr="6E515197">
        <w:rPr>
          <w:color w:val="A6A6A6" w:themeColor="background1" w:themeShade="A6"/>
          <w:highlight w:val="yellow"/>
        </w:rPr>
        <w:t>matr</w:t>
      </w:r>
      <w:proofErr w:type="spellEnd"/>
      <w:r w:rsidRPr="6E515197">
        <w:rPr>
          <w:color w:val="A6A6A6" w:themeColor="background1" w:themeShade="A6"/>
          <w:highlight w:val="yellow"/>
        </w:rPr>
        <w:t xml:space="preserve">. nr. </w:t>
      </w:r>
      <w:proofErr w:type="spellStart"/>
      <w:r w:rsidR="00A227F5" w:rsidRPr="6E515197">
        <w:rPr>
          <w:color w:val="A6A6A6" w:themeColor="background1" w:themeShade="A6"/>
          <w:highlight w:val="yellow"/>
        </w:rPr>
        <w:t>xxx</w:t>
      </w:r>
      <w:proofErr w:type="spellEnd"/>
      <w:r w:rsidRPr="6E515197">
        <w:rPr>
          <w:color w:val="A6A6A6" w:themeColor="background1" w:themeShade="A6"/>
        </w:rPr>
        <w:t xml:space="preserve"> </w:t>
      </w:r>
      <w:r>
        <w:t>í navn á bygd/bý</w:t>
      </w:r>
      <w:r w:rsidR="00303ADE">
        <w:t xml:space="preserve"> frá </w:t>
      </w:r>
      <w:proofErr w:type="spellStart"/>
      <w:r w:rsidR="00303ADE">
        <w:t>19</w:t>
      </w:r>
      <w:r w:rsidR="00303ADE" w:rsidRPr="6E515197">
        <w:rPr>
          <w:highlight w:val="yellow"/>
        </w:rPr>
        <w:t>xx</w:t>
      </w:r>
      <w:proofErr w:type="spellEnd"/>
      <w:r w:rsidR="00303ADE">
        <w:t>.</w:t>
      </w:r>
    </w:p>
    <w:p w14:paraId="602EDFA8" w14:textId="77777777" w:rsidR="00556EDA" w:rsidRPr="00302B85" w:rsidRDefault="00556EDA" w:rsidP="001A79A8">
      <w:pPr>
        <w:spacing w:line="276" w:lineRule="auto"/>
        <w:jc w:val="both"/>
      </w:pPr>
    </w:p>
    <w:p w14:paraId="3CD6FAFB" w14:textId="6D808462" w:rsidR="001C5715" w:rsidRDefault="00303ADE" w:rsidP="001A79A8">
      <w:pPr>
        <w:spacing w:line="276" w:lineRule="auto"/>
        <w:jc w:val="both"/>
      </w:pPr>
      <w:r w:rsidRPr="00302B85">
        <w:t>Sambært</w:t>
      </w:r>
      <w:r w:rsidR="00C3193A" w:rsidRPr="00302B85">
        <w:t xml:space="preserve"> § </w:t>
      </w:r>
      <w:r w:rsidR="00C3193A" w:rsidRPr="00302B85">
        <w:rPr>
          <w:highlight w:val="yellow"/>
        </w:rPr>
        <w:t>11 – 13</w:t>
      </w:r>
      <w:r w:rsidR="00C3193A" w:rsidRPr="00302B85">
        <w:t xml:space="preserve"> í</w:t>
      </w:r>
      <w:r w:rsidRPr="00302B85">
        <w:t xml:space="preserve"> kunngerðini</w:t>
      </w:r>
      <w:r w:rsidR="00FD7E27" w:rsidRPr="00302B85">
        <w:rPr>
          <w:rStyle w:val="Fodnotehenvisning"/>
        </w:rPr>
        <w:footnoteReference w:id="2"/>
      </w:r>
      <w:r w:rsidRPr="00302B85">
        <w:t xml:space="preserve"> um oljutangar skulu tangar frá </w:t>
      </w:r>
      <w:proofErr w:type="spellStart"/>
      <w:r w:rsidRPr="00302B85">
        <w:t>19</w:t>
      </w:r>
      <w:r w:rsidRPr="00302B85">
        <w:rPr>
          <w:highlight w:val="yellow"/>
        </w:rPr>
        <w:t>xx</w:t>
      </w:r>
      <w:proofErr w:type="spellEnd"/>
      <w:r w:rsidRPr="00302B85">
        <w:t xml:space="preserve"> </w:t>
      </w:r>
      <w:r w:rsidR="0074453C">
        <w:t>takast úr nýtslu</w:t>
      </w:r>
      <w:r w:rsidRPr="00302B85">
        <w:t xml:space="preserve"> í seinasta lagi í </w:t>
      </w:r>
      <w:proofErr w:type="spellStart"/>
      <w:r w:rsidRPr="00302B85">
        <w:t>202</w:t>
      </w:r>
      <w:r w:rsidR="006A5F12" w:rsidRPr="00302B85">
        <w:rPr>
          <w:highlight w:val="yellow"/>
        </w:rPr>
        <w:t>x</w:t>
      </w:r>
      <w:proofErr w:type="spellEnd"/>
      <w:r w:rsidR="00C3193A" w:rsidRPr="00302B85">
        <w:t xml:space="preserve">. Tangin er </w:t>
      </w:r>
      <w:r w:rsidR="00EB52B2">
        <w:t>fallin fyri</w:t>
      </w:r>
      <w:r w:rsidR="00B82A21">
        <w:t xml:space="preserve"> freistina </w:t>
      </w:r>
      <w:r w:rsidR="002C7501">
        <w:t>fyri útskifting</w:t>
      </w:r>
      <w:r w:rsidR="006270A3">
        <w:t xml:space="preserve">, og </w:t>
      </w:r>
      <w:proofErr w:type="spellStart"/>
      <w:r w:rsidR="006270A3" w:rsidRPr="008A0A33">
        <w:rPr>
          <w:highlight w:val="yellow"/>
        </w:rPr>
        <w:t>xxx</w:t>
      </w:r>
      <w:proofErr w:type="spellEnd"/>
      <w:r w:rsidR="006270A3">
        <w:t xml:space="preserve"> kommuna metir tí, at</w:t>
      </w:r>
      <w:r w:rsidR="001C5715">
        <w:t xml:space="preserve"> </w:t>
      </w:r>
      <w:r w:rsidR="001C5715" w:rsidRPr="001C5715">
        <w:t>vandi er fyri</w:t>
      </w:r>
      <w:r w:rsidR="399A1DA2" w:rsidRPr="001C5715">
        <w:t>, at tangin fer at leka, og harvið kann elva til</w:t>
      </w:r>
      <w:r w:rsidR="001C5715" w:rsidRPr="001C5715">
        <w:t xml:space="preserve"> dálking</w:t>
      </w:r>
      <w:r w:rsidR="001C5715">
        <w:t xml:space="preserve">. </w:t>
      </w:r>
      <w:r w:rsidR="00354565">
        <w:t>Kommunan ví</w:t>
      </w:r>
      <w:r w:rsidR="2E4FAF39">
        <w:t>s</w:t>
      </w:r>
      <w:r w:rsidR="00354565">
        <w:t>ur á, at o</w:t>
      </w:r>
      <w:r w:rsidR="001C5715" w:rsidRPr="00302B85" w:rsidDel="009671B6">
        <w:t>ljutangar hava eina ávísa livitíð. Er tangin eldri enn livitíðin hjá tanganum, økist vandin fyri, at tangin fer at leka og harvið vera atvold til oljudálking.</w:t>
      </w:r>
      <w:r w:rsidR="001C5715" w:rsidRPr="00DC4BFC">
        <w:t xml:space="preserve"> </w:t>
      </w:r>
    </w:p>
    <w:p w14:paraId="50A3BAEA" w14:textId="77777777" w:rsidR="001A79A8" w:rsidRDefault="001A79A8" w:rsidP="001A79A8">
      <w:pPr>
        <w:spacing w:line="276" w:lineRule="auto"/>
        <w:jc w:val="both"/>
      </w:pPr>
    </w:p>
    <w:p w14:paraId="5D0C906D" w14:textId="332726CE" w:rsidR="00CA1DF4" w:rsidRDefault="00DE402E" w:rsidP="001A79A8">
      <w:pPr>
        <w:spacing w:line="276" w:lineRule="auto"/>
        <w:jc w:val="both"/>
      </w:pPr>
      <w:r w:rsidRPr="008A0A33">
        <w:rPr>
          <w:b/>
          <w:bCs/>
          <w:highlight w:val="yellow"/>
        </w:rPr>
        <w:t>X</w:t>
      </w:r>
      <w:r w:rsidR="00F835DB" w:rsidRPr="008A0A33">
        <w:rPr>
          <w:b/>
          <w:bCs/>
          <w:highlight w:val="yellow"/>
        </w:rPr>
        <w:t>X</w:t>
      </w:r>
      <w:r w:rsidR="00A03D9B" w:rsidRPr="008A0A33">
        <w:rPr>
          <w:highlight w:val="yellow"/>
        </w:rPr>
        <w:t xml:space="preserve"> </w:t>
      </w:r>
      <w:r w:rsidR="005E69CD" w:rsidRPr="6E515197">
        <w:rPr>
          <w:b/>
          <w:bCs/>
          <w:highlight w:val="yellow"/>
        </w:rPr>
        <w:t>kommuna</w:t>
      </w:r>
      <w:r w:rsidR="005E69CD" w:rsidRPr="00A03D9B">
        <w:rPr>
          <w:b/>
          <w:bCs/>
        </w:rPr>
        <w:t xml:space="preserve"> </w:t>
      </w:r>
      <w:r w:rsidR="00F97D78" w:rsidRPr="00A03D9B">
        <w:rPr>
          <w:b/>
          <w:bCs/>
        </w:rPr>
        <w:t>ætlar</w:t>
      </w:r>
      <w:r w:rsidR="2F2B4A26" w:rsidRPr="00A03D9B">
        <w:rPr>
          <w:b/>
          <w:bCs/>
        </w:rPr>
        <w:t xml:space="preserve"> tí</w:t>
      </w:r>
      <w:r w:rsidR="00F97D78">
        <w:t xml:space="preserve"> </w:t>
      </w:r>
      <w:r w:rsidR="005E69CD" w:rsidRPr="6E515197">
        <w:rPr>
          <w:b/>
          <w:bCs/>
        </w:rPr>
        <w:t>at geva tygum boð um at taka oljutangan úr nýtslu</w:t>
      </w:r>
      <w:r w:rsidR="005E69CD" w:rsidRPr="00302B85">
        <w:t xml:space="preserve">. </w:t>
      </w:r>
      <w:r w:rsidR="00573AE3" w:rsidRPr="00302B85">
        <w:rPr>
          <w:color w:val="000000"/>
        </w:rPr>
        <w:t>Sum eigari av tanganum, skulu tygum boða kommununi, eins væl og oljufelagnum frá, í seinasta lagi 14 dagar innan tangi</w:t>
      </w:r>
      <w:r w:rsidR="799ABF47" w:rsidRPr="00302B85">
        <w:rPr>
          <w:color w:val="000000"/>
        </w:rPr>
        <w:t>n</w:t>
      </w:r>
      <w:r w:rsidR="00573AE3" w:rsidRPr="00302B85">
        <w:rPr>
          <w:color w:val="000000"/>
        </w:rPr>
        <w:t xml:space="preserve"> verður tikin úr nýtslu.</w:t>
      </w:r>
      <w:r w:rsidR="00573AE3" w:rsidRPr="00573AE3">
        <w:t xml:space="preserve"> </w:t>
      </w:r>
      <w:r w:rsidR="00573AE3" w:rsidRPr="003A1575">
        <w:t>Oljutang</w:t>
      </w:r>
      <w:r w:rsidR="00573AE3">
        <w:t>ar</w:t>
      </w:r>
      <w:r w:rsidR="00573AE3" w:rsidRPr="003A1575">
        <w:t>, sum ver</w:t>
      </w:r>
      <w:r w:rsidR="00573AE3">
        <w:t>ða</w:t>
      </w:r>
      <w:r w:rsidR="00573AE3" w:rsidRPr="003A1575">
        <w:t xml:space="preserve"> tik</w:t>
      </w:r>
      <w:r w:rsidR="00573AE3">
        <w:t>n</w:t>
      </w:r>
      <w:r w:rsidR="00573AE3" w:rsidRPr="003A1575">
        <w:t>i</w:t>
      </w:r>
      <w:r w:rsidR="00573AE3">
        <w:t>r</w:t>
      </w:r>
      <w:r w:rsidR="00573AE3" w:rsidRPr="003A1575">
        <w:t xml:space="preserve"> úr nýtslu endaliga, sk</w:t>
      </w:r>
      <w:r w:rsidR="00573AE3">
        <w:t>ulu</w:t>
      </w:r>
      <w:r w:rsidR="00573AE3" w:rsidRPr="003A1575">
        <w:t xml:space="preserve"> </w:t>
      </w:r>
      <w:proofErr w:type="spellStart"/>
      <w:r w:rsidR="00573AE3" w:rsidRPr="003A1575">
        <w:t>avriggast</w:t>
      </w:r>
      <w:proofErr w:type="spellEnd"/>
      <w:r w:rsidR="00573AE3">
        <w:t xml:space="preserve"> sambært § 9 í kunngerðini</w:t>
      </w:r>
      <w:r w:rsidR="0E9764CC">
        <w:t>, sum áset</w:t>
      </w:r>
      <w:r w:rsidR="4ABB28DC">
        <w:t>u</w:t>
      </w:r>
      <w:r w:rsidR="0E9764CC">
        <w:t>r</w:t>
      </w:r>
      <w:r w:rsidR="6E622A69">
        <w:t>, at</w:t>
      </w:r>
      <w:r w:rsidR="00573AE3" w:rsidRPr="003A1575">
        <w:t xml:space="preserve"> </w:t>
      </w:r>
      <w:r w:rsidR="60F859CA" w:rsidRPr="00302B85">
        <w:t>t</w:t>
      </w:r>
      <w:r w:rsidR="00573AE3" w:rsidRPr="00302B85">
        <w:t xml:space="preserve">angi og rørleiðingar skulu tømast, og </w:t>
      </w:r>
      <w:proofErr w:type="spellStart"/>
      <w:r w:rsidR="00573AE3" w:rsidRPr="00302B85">
        <w:t>áfyllingarstaðið</w:t>
      </w:r>
      <w:proofErr w:type="spellEnd"/>
      <w:r w:rsidR="00573AE3" w:rsidRPr="00302B85">
        <w:t xml:space="preserve"> takast burtur. Tangin skal takast niður ella gravast upp og latast til </w:t>
      </w:r>
      <w:proofErr w:type="spellStart"/>
      <w:r w:rsidR="00573AE3" w:rsidRPr="00302B85">
        <w:t>IRF</w:t>
      </w:r>
      <w:proofErr w:type="spellEnd"/>
      <w:r w:rsidR="00573AE3" w:rsidRPr="00302B85">
        <w:t>, kommunalu brennistøðini hjá Tórshavnar kommunu ella øðrum góðkendum móttakara av burturkasti.</w:t>
      </w:r>
      <w:r w:rsidR="00F835DB" w:rsidRPr="00F835DB">
        <w:rPr>
          <w:color w:val="000000"/>
          <w:shd w:val="clear" w:color="auto" w:fill="FFFFFF"/>
        </w:rPr>
        <w:t xml:space="preserve"> </w:t>
      </w:r>
      <w:r w:rsidR="00F835DB" w:rsidRPr="00302B85">
        <w:rPr>
          <w:color w:val="000000"/>
          <w:shd w:val="clear" w:color="auto" w:fill="FFFFFF"/>
        </w:rPr>
        <w:t xml:space="preserve">Kommunan kann, eftir umsókn frá eigara, loyva, at tangin verður liggjandi, um tað verður mett umhvørvisliga ráðiligt og treytað av, at tangin verður fyltur við sandi, og </w:t>
      </w:r>
      <w:proofErr w:type="spellStart"/>
      <w:r w:rsidR="00F835DB" w:rsidRPr="00302B85">
        <w:rPr>
          <w:color w:val="000000"/>
          <w:shd w:val="clear" w:color="auto" w:fill="FFFFFF"/>
        </w:rPr>
        <w:t>áfyllingarstaðið</w:t>
      </w:r>
      <w:proofErr w:type="spellEnd"/>
      <w:r w:rsidR="00F835DB" w:rsidRPr="00302B85">
        <w:rPr>
          <w:color w:val="000000"/>
          <w:shd w:val="clear" w:color="auto" w:fill="FFFFFF"/>
        </w:rPr>
        <w:t xml:space="preserve"> tipt.</w:t>
      </w:r>
    </w:p>
    <w:p w14:paraId="0FA6383D" w14:textId="77777777" w:rsidR="00CA1DF4" w:rsidRPr="00D673CA" w:rsidRDefault="00CA1DF4" w:rsidP="001A79A8">
      <w:pPr>
        <w:spacing w:line="276" w:lineRule="auto"/>
        <w:jc w:val="both"/>
      </w:pPr>
    </w:p>
    <w:p w14:paraId="21475895" w14:textId="76900F41" w:rsidR="005E69CD" w:rsidRDefault="005E69CD" w:rsidP="001A79A8">
      <w:pPr>
        <w:spacing w:line="276" w:lineRule="auto"/>
        <w:jc w:val="both"/>
      </w:pPr>
      <w:r w:rsidRPr="00302B85">
        <w:t xml:space="preserve">Boðini verða </w:t>
      </w:r>
      <w:r w:rsidR="001A5078">
        <w:t xml:space="preserve">sostatt </w:t>
      </w:r>
      <w:r w:rsidRPr="00302B85">
        <w:t>givin við heimild í § 17, stk. 2</w:t>
      </w:r>
      <w:r w:rsidR="001A79A8">
        <w:t>,</w:t>
      </w:r>
      <w:r w:rsidRPr="00302B85">
        <w:t xml:space="preserve"> í áðurnevndu kunngerð um fyribyrging av dálking frá oljutangum.</w:t>
      </w:r>
    </w:p>
    <w:p w14:paraId="3A8DB6E6" w14:textId="77777777" w:rsidR="001A79A8" w:rsidRDefault="001A79A8" w:rsidP="001A79A8">
      <w:pPr>
        <w:spacing w:line="276" w:lineRule="auto"/>
        <w:jc w:val="both"/>
      </w:pPr>
    </w:p>
    <w:p w14:paraId="65E21AAD" w14:textId="2ED9C842" w:rsidR="00761BE3" w:rsidRPr="00302B85" w:rsidRDefault="001A79A8" w:rsidP="005438E1">
      <w:pPr>
        <w:spacing w:after="120"/>
        <w:jc w:val="both"/>
      </w:pPr>
      <w:r w:rsidRPr="00302B85">
        <w:t>Áðrenn slík boð verða givin, hava tygum rætt til at úttala tygum í málinum umframt at tygum hava rætt til innlit í málið.</w:t>
      </w:r>
      <w:r w:rsidR="00CC1A29" w:rsidRPr="00CC1A29">
        <w:t xml:space="preserve"> </w:t>
      </w:r>
      <w:r w:rsidR="00CC1A29" w:rsidRPr="00302B85">
        <w:t xml:space="preserve">Tygum verða tí biðin um at veita upplýsingar um kostnað, fyrimunir og vansar, ið kunnu standast av avgerðini. Viðmerkingar tygara skulu vera kommununi í hendi </w:t>
      </w:r>
      <w:r w:rsidR="00E36CBB">
        <w:t xml:space="preserve">innan 14 dagar, tvs. </w:t>
      </w:r>
      <w:r w:rsidR="00CC1A29" w:rsidRPr="00302B85">
        <w:t>í seinasta lagi</w:t>
      </w:r>
      <w:r w:rsidR="00E36CBB">
        <w:t xml:space="preserve"> </w:t>
      </w:r>
      <w:proofErr w:type="spellStart"/>
      <w:r w:rsidR="00903230" w:rsidRPr="00B02E25">
        <w:rPr>
          <w:b/>
          <w:bCs/>
          <w:highlight w:val="yellow"/>
        </w:rPr>
        <w:t>xxdagin</w:t>
      </w:r>
      <w:proofErr w:type="spellEnd"/>
      <w:r w:rsidR="00903230" w:rsidRPr="00B02E25">
        <w:rPr>
          <w:b/>
          <w:bCs/>
          <w:highlight w:val="yellow"/>
        </w:rPr>
        <w:t xml:space="preserve"> hin</w:t>
      </w:r>
      <w:r w:rsidR="00CC1A29" w:rsidRPr="008A0A33">
        <w:rPr>
          <w:highlight w:val="yellow"/>
        </w:rPr>
        <w:t xml:space="preserve"> </w:t>
      </w:r>
      <w:proofErr w:type="spellStart"/>
      <w:r w:rsidR="00CC1A29" w:rsidRPr="008A0A33">
        <w:rPr>
          <w:b/>
          <w:bCs/>
          <w:highlight w:val="yellow"/>
        </w:rPr>
        <w:t>dd.mm.ár</w:t>
      </w:r>
      <w:proofErr w:type="spellEnd"/>
      <w:r w:rsidR="00CC1A29" w:rsidRPr="008A0A33">
        <w:rPr>
          <w:b/>
          <w:bCs/>
          <w:highlight w:val="yellow"/>
        </w:rPr>
        <w:t>.</w:t>
      </w:r>
    </w:p>
    <w:p w14:paraId="7697E7BA" w14:textId="77777777" w:rsidR="003655F8" w:rsidRPr="00302B85" w:rsidRDefault="003655F8" w:rsidP="005438E1">
      <w:pPr>
        <w:pStyle w:val="stk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14:paraId="43722AAF" w14:textId="25639499" w:rsidR="000F112A" w:rsidRPr="00302B85" w:rsidRDefault="00596512" w:rsidP="005438E1">
      <w:pPr>
        <w:spacing w:after="120"/>
        <w:jc w:val="both"/>
      </w:pPr>
      <w:r w:rsidRPr="00302B85">
        <w:t>Hava tygum spurningar, eru tygum vælkomin at venda tygum til kommununa.</w:t>
      </w:r>
    </w:p>
    <w:p w14:paraId="03F9C90A" w14:textId="77777777" w:rsidR="00DF1AB4" w:rsidRPr="00302B85" w:rsidRDefault="00DF1AB4" w:rsidP="005438E1">
      <w:pPr>
        <w:spacing w:after="120"/>
        <w:jc w:val="both"/>
      </w:pPr>
    </w:p>
    <w:p w14:paraId="20A24539" w14:textId="77777777" w:rsidR="00DF1AB4" w:rsidRPr="00302B85" w:rsidRDefault="00DF1AB4" w:rsidP="005438E1">
      <w:pPr>
        <w:spacing w:after="120"/>
        <w:jc w:val="both"/>
      </w:pPr>
      <w:r w:rsidRPr="00302B85">
        <w:t>Vinarliga</w:t>
      </w:r>
    </w:p>
    <w:p w14:paraId="0C466537" w14:textId="77777777" w:rsidR="00DF1AB4" w:rsidRPr="00302B85" w:rsidRDefault="00DF1AB4" w:rsidP="005438E1">
      <w:pPr>
        <w:tabs>
          <w:tab w:val="left" w:pos="1560"/>
        </w:tabs>
        <w:jc w:val="both"/>
      </w:pPr>
      <w:r w:rsidRPr="00302B85">
        <w:tab/>
      </w:r>
    </w:p>
    <w:p w14:paraId="03A5A9BA" w14:textId="77777777" w:rsidR="00DF1AB4" w:rsidRPr="00302B85" w:rsidRDefault="00DF1AB4" w:rsidP="005438E1">
      <w:pPr>
        <w:jc w:val="both"/>
      </w:pPr>
    </w:p>
    <w:p w14:paraId="056D07A3" w14:textId="77777777" w:rsidR="00DF1AB4" w:rsidRPr="00302B85" w:rsidRDefault="00DF1AB4" w:rsidP="005438E1">
      <w:pPr>
        <w:jc w:val="both"/>
      </w:pPr>
    </w:p>
    <w:p w14:paraId="42CA9B22" w14:textId="77777777" w:rsidR="00DF1AB4" w:rsidRPr="00302B85" w:rsidRDefault="00DF1AB4" w:rsidP="005438E1">
      <w:pPr>
        <w:jc w:val="both"/>
      </w:pPr>
    </w:p>
    <w:p w14:paraId="47E26BC6" w14:textId="77777777" w:rsidR="00DF1AB4" w:rsidRPr="00302B85" w:rsidRDefault="00DF1AB4" w:rsidP="005438E1">
      <w:pPr>
        <w:jc w:val="both"/>
      </w:pPr>
    </w:p>
    <w:p w14:paraId="544D68E4" w14:textId="77777777" w:rsidR="00DF1AB4" w:rsidRPr="00302B85" w:rsidRDefault="00DF1AB4" w:rsidP="005438E1">
      <w:pPr>
        <w:jc w:val="both"/>
      </w:pPr>
      <w:r w:rsidRPr="00302B85">
        <w:t>Navn</w:t>
      </w:r>
    </w:p>
    <w:p w14:paraId="38BDC420" w14:textId="77777777" w:rsidR="00DF1AB4" w:rsidRPr="00302B85" w:rsidRDefault="00DF1AB4" w:rsidP="005438E1">
      <w:pPr>
        <w:jc w:val="both"/>
      </w:pPr>
      <w:r w:rsidRPr="00302B85">
        <w:t>Bústaður</w:t>
      </w:r>
    </w:p>
    <w:p w14:paraId="6319DC89" w14:textId="77777777" w:rsidR="00DF1AB4" w:rsidRPr="00302B85" w:rsidRDefault="00DF1AB4" w:rsidP="005438E1">
      <w:pPr>
        <w:jc w:val="both"/>
      </w:pPr>
      <w:r w:rsidRPr="00302B85">
        <w:t>Bygd/býur</w:t>
      </w:r>
    </w:p>
    <w:p w14:paraId="68CFAB46" w14:textId="77777777" w:rsidR="002C47DE" w:rsidRDefault="00DF1AB4" w:rsidP="002C47DE">
      <w:pPr>
        <w:tabs>
          <w:tab w:val="right" w:pos="9356"/>
        </w:tabs>
        <w:jc w:val="right"/>
      </w:pPr>
      <w:r w:rsidRPr="00302B85">
        <w:tab/>
      </w:r>
      <w:proofErr w:type="spellStart"/>
      <w:r w:rsidR="002C47DE">
        <w:t>Máls</w:t>
      </w:r>
      <w:r w:rsidR="002C47DE" w:rsidRPr="00302B85">
        <w:t>nr</w:t>
      </w:r>
      <w:proofErr w:type="spellEnd"/>
      <w:r w:rsidR="002C47DE" w:rsidRPr="00302B85">
        <w:t xml:space="preserve">.: </w:t>
      </w:r>
      <w:proofErr w:type="spellStart"/>
      <w:r w:rsidR="002C47DE" w:rsidRPr="008A0A33">
        <w:rPr>
          <w:highlight w:val="yellow"/>
        </w:rPr>
        <w:t>xxxxxx</w:t>
      </w:r>
      <w:proofErr w:type="spellEnd"/>
      <w:r w:rsidR="002C47DE" w:rsidRPr="00302B85">
        <w:t xml:space="preserve"> </w:t>
      </w:r>
    </w:p>
    <w:p w14:paraId="722E5699" w14:textId="3B59DDAA" w:rsidR="00DF1AB4" w:rsidRPr="00302B85" w:rsidRDefault="00DF1AB4" w:rsidP="002C47DE">
      <w:pPr>
        <w:tabs>
          <w:tab w:val="right" w:pos="9356"/>
        </w:tabs>
        <w:jc w:val="right"/>
      </w:pPr>
      <w:r w:rsidRPr="00302B85">
        <w:t xml:space="preserve">Hin </w:t>
      </w:r>
      <w:proofErr w:type="spellStart"/>
      <w:r w:rsidR="00AB400C">
        <w:rPr>
          <w:highlight w:val="yellow"/>
        </w:rPr>
        <w:t>dd</w:t>
      </w:r>
      <w:proofErr w:type="spellEnd"/>
      <w:r w:rsidRPr="002C47DE">
        <w:rPr>
          <w:highlight w:val="yellow"/>
        </w:rPr>
        <w:t xml:space="preserve">. </w:t>
      </w:r>
      <w:r w:rsidR="00AB400C">
        <w:rPr>
          <w:highlight w:val="yellow"/>
        </w:rPr>
        <w:t>mm.</w:t>
      </w:r>
      <w:r w:rsidRPr="002C47DE">
        <w:rPr>
          <w:highlight w:val="yellow"/>
        </w:rPr>
        <w:t xml:space="preserve"> </w:t>
      </w:r>
      <w:proofErr w:type="spellStart"/>
      <w:r w:rsidRPr="002C47DE">
        <w:rPr>
          <w:highlight w:val="yellow"/>
        </w:rPr>
        <w:t>20</w:t>
      </w:r>
      <w:r w:rsidR="00931556" w:rsidRPr="002C47DE">
        <w:rPr>
          <w:highlight w:val="yellow"/>
        </w:rPr>
        <w:t>2x</w:t>
      </w:r>
      <w:proofErr w:type="spellEnd"/>
    </w:p>
    <w:p w14:paraId="76BD1BD2" w14:textId="48FD2625" w:rsidR="00DF1AB4" w:rsidRPr="00302B85" w:rsidRDefault="00DF1AB4" w:rsidP="005438E1">
      <w:pPr>
        <w:pStyle w:val="Overskrift1"/>
        <w:spacing w:before="600" w:after="360"/>
        <w:jc w:val="both"/>
      </w:pPr>
      <w:r w:rsidRPr="00302B85">
        <w:t xml:space="preserve">Boð um at </w:t>
      </w:r>
      <w:r w:rsidR="00FE53A0" w:rsidRPr="00302B85">
        <w:t>taka oljutanga úr nýtslu</w:t>
      </w:r>
    </w:p>
    <w:p w14:paraId="097A6C86" w14:textId="395A8F34" w:rsidR="00A227F5" w:rsidRPr="0050011F" w:rsidRDefault="3366BCE0" w:rsidP="005438E1">
      <w:pPr>
        <w:spacing w:after="120"/>
        <w:jc w:val="both"/>
      </w:pPr>
      <w:r>
        <w:t>Vísandi til</w:t>
      </w:r>
      <w:r w:rsidR="00A15456">
        <w:t xml:space="preserve"> til ætlanarskriv </w:t>
      </w:r>
      <w:r w:rsidR="00D34C29">
        <w:t xml:space="preserve">frá </w:t>
      </w:r>
      <w:r w:rsidR="00D34C29" w:rsidRPr="0764542C">
        <w:rPr>
          <w:highlight w:val="yellow"/>
        </w:rPr>
        <w:t>XX</w:t>
      </w:r>
      <w:r w:rsidR="00D34C29">
        <w:t xml:space="preserve"> kommunu dagfest </w:t>
      </w:r>
      <w:proofErr w:type="spellStart"/>
      <w:r w:rsidR="00956989">
        <w:rPr>
          <w:highlight w:val="yellow"/>
        </w:rPr>
        <w:t>dd</w:t>
      </w:r>
      <w:r w:rsidR="00D34C29" w:rsidRPr="0764542C">
        <w:rPr>
          <w:highlight w:val="yellow"/>
        </w:rPr>
        <w:t>.</w:t>
      </w:r>
      <w:r w:rsidR="00956989">
        <w:rPr>
          <w:highlight w:val="yellow"/>
        </w:rPr>
        <w:t>mm</w:t>
      </w:r>
      <w:proofErr w:type="spellEnd"/>
      <w:r w:rsidR="00956989">
        <w:rPr>
          <w:highlight w:val="yellow"/>
        </w:rPr>
        <w:t>.</w:t>
      </w:r>
      <w:proofErr w:type="spellStart"/>
      <w:r w:rsidR="00D34C29" w:rsidRPr="0764542C">
        <w:rPr>
          <w:highlight w:val="yellow"/>
        </w:rPr>
        <w:t>202x</w:t>
      </w:r>
      <w:proofErr w:type="spellEnd"/>
      <w:r w:rsidR="00D34C29">
        <w:t xml:space="preserve"> fáa tygum við hesum </w:t>
      </w:r>
      <w:r w:rsidR="00DF1AB4">
        <w:t xml:space="preserve">boð um at </w:t>
      </w:r>
      <w:r w:rsidR="00FE53A0">
        <w:t>taka oljutanga tyg</w:t>
      </w:r>
      <w:r w:rsidR="00DF6CC4">
        <w:t>ara</w:t>
      </w:r>
      <w:r w:rsidR="00FE53A0">
        <w:t xml:space="preserve"> á </w:t>
      </w:r>
      <w:proofErr w:type="spellStart"/>
      <w:r w:rsidR="00DF1AB4">
        <w:t>matr</w:t>
      </w:r>
      <w:proofErr w:type="spellEnd"/>
      <w:r w:rsidR="00DF1AB4">
        <w:t xml:space="preserve">. nr. </w:t>
      </w:r>
      <w:proofErr w:type="spellStart"/>
      <w:r w:rsidR="00DF1AB4" w:rsidRPr="009E32C7">
        <w:rPr>
          <w:highlight w:val="yellow"/>
        </w:rPr>
        <w:t>xxx</w:t>
      </w:r>
      <w:proofErr w:type="spellEnd"/>
      <w:r w:rsidR="00A227F5">
        <w:t xml:space="preserve"> </w:t>
      </w:r>
      <w:r w:rsidR="00A227F5" w:rsidRPr="0764542C">
        <w:rPr>
          <w:highlight w:val="yellow"/>
        </w:rPr>
        <w:t>í bygd/bý</w:t>
      </w:r>
      <w:r w:rsidR="00DF6CC4">
        <w:t xml:space="preserve"> úr nýtslu</w:t>
      </w:r>
      <w:r w:rsidR="00FD7E27">
        <w:t xml:space="preserve"> í seinasta lagi </w:t>
      </w:r>
      <w:proofErr w:type="spellStart"/>
      <w:r w:rsidR="00464698" w:rsidRPr="0764542C">
        <w:rPr>
          <w:highlight w:val="yellow"/>
        </w:rPr>
        <w:t>xx</w:t>
      </w:r>
      <w:r w:rsidR="00464698">
        <w:t>dagin</w:t>
      </w:r>
      <w:proofErr w:type="spellEnd"/>
      <w:r w:rsidR="00464698">
        <w:t xml:space="preserve"> hin </w:t>
      </w:r>
      <w:proofErr w:type="spellStart"/>
      <w:r w:rsidR="00956989">
        <w:t>dd</w:t>
      </w:r>
      <w:r w:rsidR="00FD7E27" w:rsidRPr="0764542C">
        <w:rPr>
          <w:highlight w:val="yellow"/>
        </w:rPr>
        <w:t>.</w:t>
      </w:r>
      <w:r w:rsidR="00956989">
        <w:rPr>
          <w:highlight w:val="yellow"/>
        </w:rPr>
        <w:t>mm</w:t>
      </w:r>
      <w:proofErr w:type="spellEnd"/>
      <w:r w:rsidR="00956989">
        <w:rPr>
          <w:highlight w:val="yellow"/>
        </w:rPr>
        <w:t>.</w:t>
      </w:r>
      <w:proofErr w:type="spellStart"/>
      <w:r w:rsidR="00FD7E27" w:rsidRPr="0764542C">
        <w:rPr>
          <w:highlight w:val="yellow"/>
        </w:rPr>
        <w:t>202x</w:t>
      </w:r>
      <w:proofErr w:type="spellEnd"/>
      <w:r w:rsidR="00A227F5">
        <w:t>.</w:t>
      </w:r>
      <w:r w:rsidR="00F8791B">
        <w:t xml:space="preserve"> </w:t>
      </w:r>
    </w:p>
    <w:p w14:paraId="4FE14B63" w14:textId="57A67D95" w:rsidR="00DF1AB4" w:rsidRDefault="00DF1AB4" w:rsidP="00F077B9">
      <w:pPr>
        <w:spacing w:after="120"/>
        <w:jc w:val="both"/>
      </w:pPr>
      <w:r w:rsidRPr="6E515197">
        <w:t>Orsøkin til boðini er</w:t>
      </w:r>
      <w:r w:rsidR="00A227F5" w:rsidRPr="00302B85">
        <w:rPr>
          <w:bCs/>
        </w:rPr>
        <w:t>,</w:t>
      </w:r>
      <w:r w:rsidR="00FE53A0" w:rsidRPr="6E515197">
        <w:t xml:space="preserve"> at tangin, sambært upplýsingum okkara er f</w:t>
      </w:r>
      <w:r w:rsidR="00DF6CC4" w:rsidRPr="6E515197">
        <w:t>a</w:t>
      </w:r>
      <w:r w:rsidR="00FE53A0" w:rsidRPr="6E515197">
        <w:t>llin fyri</w:t>
      </w:r>
      <w:r w:rsidR="00FE53A0" w:rsidRPr="00302B85">
        <w:t xml:space="preserve"> tíðarfreistunum í § 11-13 í kunngerðini um fyribyrging av dálking frá oljutangum.</w:t>
      </w:r>
      <w:r w:rsidR="004D60AE">
        <w:rPr>
          <w:rStyle w:val="Fodnotehenvisning"/>
        </w:rPr>
        <w:footnoteReference w:id="3"/>
      </w:r>
      <w:r w:rsidR="00FE53A0" w:rsidRPr="00302B85">
        <w:t xml:space="preserve"> Vandi er</w:t>
      </w:r>
      <w:r w:rsidR="00FD7E27" w:rsidRPr="00302B85">
        <w:t xml:space="preserve"> tí</w:t>
      </w:r>
      <w:r w:rsidR="00FE53A0" w:rsidRPr="00302B85">
        <w:t xml:space="preserve"> fyri</w:t>
      </w:r>
      <w:r w:rsidR="00FD7E27" w:rsidRPr="00302B85">
        <w:t>,</w:t>
      </w:r>
      <w:r w:rsidR="00FE53A0" w:rsidRPr="00302B85">
        <w:t xml:space="preserve"> at oljutangin fer at leka og</w:t>
      </w:r>
      <w:r w:rsidR="322D39BC" w:rsidRPr="00302B85">
        <w:t xml:space="preserve"> harvið</w:t>
      </w:r>
      <w:r w:rsidR="00FE53A0" w:rsidRPr="00302B85">
        <w:t xml:space="preserve"> elva til oljudálking</w:t>
      </w:r>
      <w:r w:rsidRPr="00302B85">
        <w:t>.</w:t>
      </w:r>
    </w:p>
    <w:p w14:paraId="5F9F8C44" w14:textId="77777777" w:rsidR="004D60AE" w:rsidRPr="00302B85" w:rsidRDefault="004D60AE" w:rsidP="00464698">
      <w:pPr>
        <w:spacing w:after="120"/>
        <w:jc w:val="both"/>
      </w:pPr>
      <w:r>
        <w:t xml:space="preserve">Sambært skrásetingini av oljutangum í </w:t>
      </w:r>
      <w:proofErr w:type="spellStart"/>
      <w:r w:rsidRPr="0764542C">
        <w:rPr>
          <w:highlight w:val="yellow"/>
        </w:rPr>
        <w:t>xxx</w:t>
      </w:r>
      <w:proofErr w:type="spellEnd"/>
      <w:r>
        <w:t xml:space="preserve"> kommunu er oljutangi tygara á </w:t>
      </w:r>
      <w:proofErr w:type="spellStart"/>
      <w:r w:rsidRPr="0764542C">
        <w:rPr>
          <w:color w:val="A6A6A6" w:themeColor="background1" w:themeShade="A6"/>
        </w:rPr>
        <w:t>matr</w:t>
      </w:r>
      <w:proofErr w:type="spellEnd"/>
      <w:r w:rsidRPr="0764542C">
        <w:rPr>
          <w:color w:val="A6A6A6" w:themeColor="background1" w:themeShade="A6"/>
        </w:rPr>
        <w:t xml:space="preserve">. nr. </w:t>
      </w:r>
      <w:proofErr w:type="spellStart"/>
      <w:r w:rsidRPr="0764542C">
        <w:rPr>
          <w:color w:val="A6A6A6" w:themeColor="background1" w:themeShade="A6"/>
        </w:rPr>
        <w:t>xxx</w:t>
      </w:r>
      <w:proofErr w:type="spellEnd"/>
      <w:r w:rsidRPr="0764542C">
        <w:rPr>
          <w:color w:val="A6A6A6" w:themeColor="background1" w:themeShade="A6"/>
        </w:rPr>
        <w:t xml:space="preserve"> </w:t>
      </w:r>
      <w:r>
        <w:t xml:space="preserve">í navn á </w:t>
      </w:r>
      <w:r w:rsidRPr="0764542C">
        <w:rPr>
          <w:highlight w:val="yellow"/>
        </w:rPr>
        <w:t>bygd/bý</w:t>
      </w:r>
      <w:r>
        <w:t xml:space="preserve"> frá </w:t>
      </w:r>
      <w:proofErr w:type="spellStart"/>
      <w:r>
        <w:t>19</w:t>
      </w:r>
      <w:r w:rsidRPr="0764542C">
        <w:rPr>
          <w:highlight w:val="yellow"/>
        </w:rPr>
        <w:t>xx</w:t>
      </w:r>
      <w:proofErr w:type="spellEnd"/>
      <w:r>
        <w:t>.</w:t>
      </w:r>
    </w:p>
    <w:p w14:paraId="6C821477" w14:textId="77777777" w:rsidR="004D469E" w:rsidRDefault="0069011F" w:rsidP="00464698">
      <w:pPr>
        <w:spacing w:after="120"/>
        <w:jc w:val="both"/>
      </w:pPr>
      <w:r w:rsidRPr="00302B85">
        <w:t xml:space="preserve">Sambært § </w:t>
      </w:r>
      <w:r w:rsidRPr="00302B85">
        <w:rPr>
          <w:highlight w:val="yellow"/>
        </w:rPr>
        <w:t>11 – 13</w:t>
      </w:r>
      <w:r w:rsidRPr="00302B85">
        <w:t xml:space="preserve"> í kunngerðini</w:t>
      </w:r>
      <w:r w:rsidRPr="00302B85">
        <w:rPr>
          <w:rStyle w:val="Fodnotehenvisning"/>
        </w:rPr>
        <w:footnoteReference w:id="4"/>
      </w:r>
      <w:r w:rsidRPr="00302B85">
        <w:t xml:space="preserve"> um oljutangar skulu tangar frá </w:t>
      </w:r>
      <w:proofErr w:type="spellStart"/>
      <w:r w:rsidRPr="00302B85">
        <w:t>19</w:t>
      </w:r>
      <w:r w:rsidRPr="00302B85">
        <w:rPr>
          <w:highlight w:val="yellow"/>
        </w:rPr>
        <w:t>xx</w:t>
      </w:r>
      <w:proofErr w:type="spellEnd"/>
      <w:r w:rsidRPr="00302B85">
        <w:t xml:space="preserve"> skiftast út í seinasta lagi í </w:t>
      </w:r>
      <w:proofErr w:type="spellStart"/>
      <w:r w:rsidRPr="00302B85">
        <w:t>202</w:t>
      </w:r>
      <w:r w:rsidRPr="00302B85">
        <w:rPr>
          <w:highlight w:val="yellow"/>
        </w:rPr>
        <w:t>x</w:t>
      </w:r>
      <w:proofErr w:type="spellEnd"/>
      <w:r w:rsidRPr="00302B85">
        <w:t xml:space="preserve">. Tangin er tí ov gamal, og skal </w:t>
      </w:r>
      <w:r w:rsidR="00B85CED">
        <w:t>takast úr nýtslu.</w:t>
      </w:r>
    </w:p>
    <w:p w14:paraId="47B30C8D" w14:textId="2BAE69BF" w:rsidR="0069011F" w:rsidRPr="00302B85" w:rsidRDefault="004D469E" w:rsidP="00464698">
      <w:pPr>
        <w:spacing w:after="120"/>
        <w:jc w:val="both"/>
      </w:pPr>
      <w:r>
        <w:t xml:space="preserve">Tangar, sum </w:t>
      </w:r>
      <w:r w:rsidR="0F22CBD9">
        <w:t>verða tiknir</w:t>
      </w:r>
      <w:r>
        <w:t xml:space="preserve"> úr nýtslu endaliga, sku</w:t>
      </w:r>
      <w:r w:rsidR="00342709">
        <w:t xml:space="preserve">lu </w:t>
      </w:r>
      <w:proofErr w:type="spellStart"/>
      <w:r w:rsidR="0069011F" w:rsidRPr="00302B85">
        <w:t>avriggast</w:t>
      </w:r>
      <w:proofErr w:type="spellEnd"/>
      <w:r w:rsidR="0069011F" w:rsidRPr="00302B85">
        <w:t xml:space="preserve"> sambært § 9 í kunngerðini</w:t>
      </w:r>
      <w:r w:rsidR="52FCC1AB" w:rsidRPr="00302B85">
        <w:t>, sum ásetur, at</w:t>
      </w:r>
      <w:r w:rsidR="00342709">
        <w:t xml:space="preserve"> </w:t>
      </w:r>
      <w:r w:rsidR="2393F587" w:rsidRPr="00302B85">
        <w:t>t</w:t>
      </w:r>
      <w:r w:rsidR="0069011F" w:rsidRPr="00302B85">
        <w:t xml:space="preserve">angi og rørleiðingar skulu tømast, og </w:t>
      </w:r>
      <w:proofErr w:type="spellStart"/>
      <w:r w:rsidR="0069011F" w:rsidRPr="00302B85">
        <w:t>áfyllingarstaðið</w:t>
      </w:r>
      <w:proofErr w:type="spellEnd"/>
      <w:r w:rsidR="0069011F" w:rsidRPr="00302B85">
        <w:t xml:space="preserve"> takast burtur. Tangin skal takast niður ella gravast upp og latast til </w:t>
      </w:r>
      <w:proofErr w:type="spellStart"/>
      <w:r w:rsidR="0069011F" w:rsidRPr="00302B85">
        <w:t>IRF</w:t>
      </w:r>
      <w:proofErr w:type="spellEnd"/>
      <w:r w:rsidR="0069011F" w:rsidRPr="00302B85">
        <w:t>, kommunalu brennistøðini hjá Tórshavnar kommunu ella øðrum góðkendum móttakara av burturkasti.</w:t>
      </w:r>
      <w:r w:rsidR="00342709">
        <w:rPr>
          <w:color w:val="000000"/>
          <w:shd w:val="clear" w:color="auto" w:fill="FFFFFF"/>
        </w:rPr>
        <w:t xml:space="preserve"> </w:t>
      </w:r>
      <w:r w:rsidR="0069011F" w:rsidRPr="00302B85">
        <w:rPr>
          <w:color w:val="000000"/>
          <w:shd w:val="clear" w:color="auto" w:fill="FFFFFF"/>
        </w:rPr>
        <w:t xml:space="preserve">Kommunan kann, eftir umsókn frá eigara, loyva, at tangin verður liggjandi, um tað verður mett umhvørvisliga ráðiligt og treytað av, at tangin verður fyltur við sandi, og </w:t>
      </w:r>
      <w:proofErr w:type="spellStart"/>
      <w:r w:rsidR="0069011F" w:rsidRPr="00302B85">
        <w:rPr>
          <w:color w:val="000000"/>
          <w:shd w:val="clear" w:color="auto" w:fill="FFFFFF"/>
        </w:rPr>
        <w:t>áfyllingarstaðið</w:t>
      </w:r>
      <w:proofErr w:type="spellEnd"/>
      <w:r w:rsidR="0069011F" w:rsidRPr="00302B85">
        <w:rPr>
          <w:color w:val="000000"/>
          <w:shd w:val="clear" w:color="auto" w:fill="FFFFFF"/>
        </w:rPr>
        <w:t xml:space="preserve"> tipt.</w:t>
      </w:r>
    </w:p>
    <w:p w14:paraId="7632EB1C" w14:textId="7DCD4024" w:rsidR="00F077B9" w:rsidRDefault="00F077B9" w:rsidP="00F077B9">
      <w:pPr>
        <w:spacing w:after="120"/>
        <w:jc w:val="both"/>
      </w:pPr>
      <w:r>
        <w:t>Sambært § 14</w:t>
      </w:r>
      <w:r w:rsidR="00D5530D">
        <w:t xml:space="preserve"> í kunnger</w:t>
      </w:r>
      <w:r w:rsidR="00D5530D" w:rsidRPr="00D5530D">
        <w:t>ð</w:t>
      </w:r>
      <w:r w:rsidR="00D5530D">
        <w:t>ini</w:t>
      </w:r>
      <w:r>
        <w:t xml:space="preserve"> kann kommunan í serligum </w:t>
      </w:r>
      <w:r w:rsidR="00E91669">
        <w:t>før</w:t>
      </w:r>
      <w:r w:rsidR="008E17D5">
        <w:t>i</w:t>
      </w:r>
      <w:r w:rsidR="00E91669">
        <w:t xml:space="preserve"> </w:t>
      </w:r>
      <w:r>
        <w:t>leingja freistina fyri útskifting, eitt nú í økjum, har ætlan er um at hava felags hitaveiting</w:t>
      </w:r>
      <w:r w:rsidR="007C3188">
        <w:t>,</w:t>
      </w:r>
      <w:r w:rsidR="090D55CD">
        <w:t xml:space="preserve"> ella at brúkarin hevur ítøkiliga ætlan um at skifta til aðra hitaskipan</w:t>
      </w:r>
      <w:r>
        <w:t>. Freistin kann eisini leingjast við tíðarskeiði, sum svarar til tíðina, tað tekur at brenna tangan tóman.</w:t>
      </w:r>
    </w:p>
    <w:p w14:paraId="1A72816B" w14:textId="2B875D4E" w:rsidR="00F077B9" w:rsidRPr="00183F75" w:rsidRDefault="00183F75" w:rsidP="00F077B9">
      <w:pPr>
        <w:spacing w:after="120"/>
        <w:jc w:val="both"/>
        <w:rPr>
          <w:color w:val="A6A6A6" w:themeColor="background1" w:themeShade="A6"/>
        </w:rPr>
      </w:pPr>
      <w:r w:rsidRPr="0050011F">
        <w:rPr>
          <w:color w:val="A6A6A6" w:themeColor="background1" w:themeShade="A6"/>
          <w:highlight w:val="yellow"/>
        </w:rPr>
        <w:t>Kommunan hevur ongar viðmerkingar fingið frá tygum.</w:t>
      </w:r>
    </w:p>
    <w:p w14:paraId="55BB6DF4" w14:textId="462297DE" w:rsidR="00DF1AB4" w:rsidRPr="00302B85" w:rsidRDefault="00DF1AB4" w:rsidP="00464698">
      <w:pPr>
        <w:spacing w:after="120"/>
        <w:jc w:val="both"/>
      </w:pPr>
      <w:r>
        <w:t xml:space="preserve">Boðini um at </w:t>
      </w:r>
      <w:r w:rsidR="00FE53A0">
        <w:t>taka oljutangar úr nýtslu verð</w:t>
      </w:r>
      <w:r>
        <w:t>a givin við heimild í § 1</w:t>
      </w:r>
      <w:r w:rsidR="00A227F5">
        <w:t>7,</w:t>
      </w:r>
      <w:r>
        <w:t xml:space="preserve"> stk. </w:t>
      </w:r>
      <w:r w:rsidR="00A227F5">
        <w:t>2</w:t>
      </w:r>
      <w:r>
        <w:t xml:space="preserve"> í kunngerð nr. </w:t>
      </w:r>
      <w:r w:rsidR="00A227F5">
        <w:t>frá 11. september 2018 um at fyribyrgja dálking frá oljutangum</w:t>
      </w:r>
      <w:r>
        <w:t xml:space="preserve">, sum </w:t>
      </w:r>
      <w:r w:rsidR="2933E6B1">
        <w:t>áset</w:t>
      </w:r>
      <w:r>
        <w:t xml:space="preserve">ur, at </w:t>
      </w:r>
      <w:r w:rsidR="00A227F5">
        <w:t>kommuna</w:t>
      </w:r>
      <w:r w:rsidR="007C3188">
        <w:t>n</w:t>
      </w:r>
      <w:r w:rsidR="00A227F5">
        <w:t xml:space="preserve"> kann geva eigara boð um, at ein oljutangin skal takast úr nýtslu, gravast upp og </w:t>
      </w:r>
      <w:proofErr w:type="spellStart"/>
      <w:r w:rsidR="00A227F5">
        <w:t>burturbeinast</w:t>
      </w:r>
      <w:proofErr w:type="spellEnd"/>
      <w:r w:rsidR="0067138F">
        <w:t>,</w:t>
      </w:r>
      <w:r w:rsidR="00A227F5">
        <w:t xml:space="preserve"> um vandi er fyri dálking.</w:t>
      </w:r>
    </w:p>
    <w:p w14:paraId="12761B29" w14:textId="44F9E3B9" w:rsidR="00DF1AB4" w:rsidRPr="00302B85" w:rsidRDefault="00DF1AB4" w:rsidP="00464698">
      <w:pPr>
        <w:spacing w:after="120"/>
        <w:jc w:val="both"/>
      </w:pPr>
      <w:r w:rsidRPr="00302B85">
        <w:t xml:space="preserve">Henda avgerð kann, sambært § </w:t>
      </w:r>
      <w:r w:rsidR="00A227F5" w:rsidRPr="00302B85">
        <w:t>18</w:t>
      </w:r>
      <w:r w:rsidRPr="00302B85">
        <w:t xml:space="preserve"> í áðurnevndu kunngerð um </w:t>
      </w:r>
      <w:r w:rsidR="00A227F5" w:rsidRPr="00302B85">
        <w:t>oljutangar</w:t>
      </w:r>
      <w:r w:rsidR="00DF6CC4" w:rsidRPr="00302B85">
        <w:t xml:space="preserve"> og § 68 í løgtingslóg frá 29. oktober 1988 um umhvørvisvernd</w:t>
      </w:r>
      <w:r w:rsidRPr="00302B85">
        <w:t xml:space="preserve">, kærast til Umhvørvisstovuna innan </w:t>
      </w:r>
      <w:r w:rsidR="00A227F5" w:rsidRPr="00302B85">
        <w:t>4</w:t>
      </w:r>
      <w:r w:rsidRPr="00302B85">
        <w:t xml:space="preserve"> vikur. Kæra </w:t>
      </w:r>
      <w:r w:rsidR="00DF6CC4" w:rsidRPr="00302B85">
        <w:t xml:space="preserve">skal </w:t>
      </w:r>
      <w:r w:rsidR="00A227F5" w:rsidRPr="00302B85">
        <w:t>sendast</w:t>
      </w:r>
      <w:r w:rsidR="00DF6CC4" w:rsidRPr="00302B85">
        <w:t xml:space="preserve"> til </w:t>
      </w:r>
      <w:proofErr w:type="spellStart"/>
      <w:r w:rsidR="00DF6CC4" w:rsidRPr="008E5DE1">
        <w:rPr>
          <w:highlight w:val="yellow"/>
        </w:rPr>
        <w:t>xxxx</w:t>
      </w:r>
      <w:proofErr w:type="spellEnd"/>
      <w:r w:rsidR="00DF6CC4" w:rsidRPr="00302B85">
        <w:t xml:space="preserve"> kommunu</w:t>
      </w:r>
      <w:r w:rsidRPr="00302B85">
        <w:t>, sum síðani send</w:t>
      </w:r>
      <w:r w:rsidR="00DF6CC4" w:rsidRPr="00302B85">
        <w:t>ir kæruna</w:t>
      </w:r>
      <w:r w:rsidRPr="00302B85">
        <w:t xml:space="preserve"> til Umhvørvisstovuna saman við tilfarinum í málinum. </w:t>
      </w:r>
      <w:r w:rsidRPr="00302B85">
        <w:rPr>
          <w:b/>
        </w:rPr>
        <w:t>Kæra skal vera kommununi í hendi í seinasta lagi</w:t>
      </w:r>
      <w:r w:rsidR="0067138F">
        <w:rPr>
          <w:b/>
        </w:rPr>
        <w:t xml:space="preserve"> </w:t>
      </w:r>
      <w:proofErr w:type="spellStart"/>
      <w:r w:rsidR="0067138F" w:rsidRPr="0067138F">
        <w:rPr>
          <w:b/>
          <w:highlight w:val="yellow"/>
        </w:rPr>
        <w:t>xx</w:t>
      </w:r>
      <w:r w:rsidR="0067138F">
        <w:rPr>
          <w:b/>
        </w:rPr>
        <w:t>dagin</w:t>
      </w:r>
      <w:proofErr w:type="spellEnd"/>
      <w:r w:rsidR="0067138F">
        <w:rPr>
          <w:b/>
        </w:rPr>
        <w:t xml:space="preserve"> hin</w:t>
      </w:r>
      <w:r w:rsidRPr="00302B85">
        <w:rPr>
          <w:b/>
        </w:rPr>
        <w:t xml:space="preserve"> </w:t>
      </w:r>
      <w:proofErr w:type="spellStart"/>
      <w:r w:rsidR="004A5E7D" w:rsidRPr="00302B85">
        <w:rPr>
          <w:b/>
          <w:highlight w:val="yellow"/>
        </w:rPr>
        <w:t>dd.mm.ár</w:t>
      </w:r>
      <w:proofErr w:type="spellEnd"/>
      <w:r w:rsidRPr="00302B85">
        <w:t>.</w:t>
      </w:r>
    </w:p>
    <w:p w14:paraId="13BECCE7" w14:textId="386B7028" w:rsidR="00DF1AB4" w:rsidRPr="00302B85" w:rsidRDefault="00DF1AB4" w:rsidP="00464698">
      <w:pPr>
        <w:spacing w:after="120"/>
        <w:jc w:val="both"/>
      </w:pPr>
      <w:r w:rsidRPr="00302B85">
        <w:t>Hava tygum spurningar, verða tygum biðin um at venda tygum til kommununa.</w:t>
      </w:r>
    </w:p>
    <w:p w14:paraId="04EC1818" w14:textId="247F728F" w:rsidR="00EF1DC3" w:rsidRPr="00FD7E27" w:rsidRDefault="00DF1AB4" w:rsidP="00AF74BA">
      <w:pPr>
        <w:jc w:val="both"/>
      </w:pPr>
      <w:r w:rsidRPr="00302B85">
        <w:t>Vinarliga</w:t>
      </w:r>
    </w:p>
    <w:sectPr w:rsidR="00EF1DC3" w:rsidRPr="00FD7E27" w:rsidSect="00BF2B69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CBFE" w14:textId="77777777" w:rsidR="003E5A64" w:rsidRPr="00302B85" w:rsidRDefault="003E5A64">
      <w:r w:rsidRPr="00302B85">
        <w:separator/>
      </w:r>
    </w:p>
  </w:endnote>
  <w:endnote w:type="continuationSeparator" w:id="0">
    <w:p w14:paraId="15501D3C" w14:textId="77777777" w:rsidR="003E5A64" w:rsidRPr="00302B85" w:rsidRDefault="003E5A64">
      <w:r w:rsidRPr="00302B85">
        <w:continuationSeparator/>
      </w:r>
    </w:p>
  </w:endnote>
  <w:endnote w:type="continuationNotice" w:id="1">
    <w:p w14:paraId="2EE1BD5A" w14:textId="77777777" w:rsidR="003E5A64" w:rsidRDefault="003E5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0B13" w14:textId="77777777" w:rsidR="003E5A64" w:rsidRPr="00302B85" w:rsidRDefault="003E5A64">
      <w:r w:rsidRPr="00302B85">
        <w:separator/>
      </w:r>
    </w:p>
  </w:footnote>
  <w:footnote w:type="continuationSeparator" w:id="0">
    <w:p w14:paraId="0493CFBD" w14:textId="77777777" w:rsidR="003E5A64" w:rsidRPr="00302B85" w:rsidRDefault="003E5A64">
      <w:r w:rsidRPr="00302B85">
        <w:continuationSeparator/>
      </w:r>
    </w:p>
  </w:footnote>
  <w:footnote w:type="continuationNotice" w:id="1">
    <w:p w14:paraId="378FF2F7" w14:textId="77777777" w:rsidR="003E5A64" w:rsidRDefault="003E5A64"/>
  </w:footnote>
  <w:footnote w:id="2">
    <w:p w14:paraId="3A2C0655" w14:textId="77777777" w:rsidR="00FD7E27" w:rsidRPr="00100A5C" w:rsidRDefault="00FD7E27" w:rsidP="00FD7E27">
      <w:pPr>
        <w:pStyle w:val="Fodnotetekst"/>
      </w:pPr>
      <w:r w:rsidRPr="00302B85">
        <w:rPr>
          <w:rStyle w:val="Fodnotehenvisning"/>
        </w:rPr>
        <w:footnoteRef/>
      </w:r>
      <w:r w:rsidRPr="00302B85">
        <w:t xml:space="preserve"> Kunngerð nr. 124 frá 11. september 2018 um at fyribyrgja dálking frá oljutangum</w:t>
      </w:r>
    </w:p>
  </w:footnote>
  <w:footnote w:id="3">
    <w:p w14:paraId="2189F3C3" w14:textId="42E51729" w:rsidR="004D60AE" w:rsidRDefault="004D60A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302B85">
        <w:t>Kunngerð nr. 124 frá 11. september 2018 um at fyribyrgja dálking frá oljutangum</w:t>
      </w:r>
      <w:r>
        <w:t>.</w:t>
      </w:r>
    </w:p>
  </w:footnote>
  <w:footnote w:id="4">
    <w:p w14:paraId="3AF5550A" w14:textId="77777777" w:rsidR="0069011F" w:rsidRPr="00100A5C" w:rsidRDefault="0069011F" w:rsidP="0069011F">
      <w:pPr>
        <w:pStyle w:val="Fodnotetekst"/>
      </w:pPr>
      <w:r w:rsidRPr="00302B85">
        <w:rPr>
          <w:rStyle w:val="Fodnotehenvisning"/>
        </w:rPr>
        <w:footnoteRef/>
      </w:r>
      <w:r w:rsidRPr="00302B85">
        <w:t xml:space="preserve"> </w:t>
      </w:r>
      <w:r w:rsidRPr="00302B85">
        <w:t>Kunngerð nr. 124 frá 11. september 2018 um at fyribyrgja dálking frá oljutangum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75F7" w14:textId="77777777" w:rsidR="00EF1DC3" w:rsidRPr="00302B85" w:rsidRDefault="000B3C11">
    <w:pPr>
      <w:pStyle w:val="Sidehoved"/>
    </w:pPr>
    <w:r>
      <w:pict w14:anchorId="1CB18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9672" o:spid="_x0000_s1026" type="#_x0000_t136" style="position:absolute;margin-left:0;margin-top:0;width:552pt;height:127.3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ØMI UM BRÆ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2563" w14:textId="77777777" w:rsidR="00EF1DC3" w:rsidRPr="00302B85" w:rsidRDefault="000B3C11">
    <w:pPr>
      <w:pStyle w:val="Sidehoved"/>
    </w:pPr>
    <w:r>
      <w:pict w14:anchorId="608AD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9673" o:spid="_x0000_s1027" type="#_x0000_t136" style="position:absolute;margin-left:0;margin-top:0;width:552pt;height:127.35pt;rotation:315;z-index:-251658238;mso-position-horizontal:center;mso-position-horizontal-relative:margin;mso-position-vertical:center;mso-position-vertical-relative:margin" o:allowincell="f" fillcolor="#f2f2f2" stroked="f">
          <v:fill color2="#f2f2f2" rotate="t" focus="100%" type="gradient"/>
          <v:textpath style="font-family:&quot;Calibri&quot;;font-size:1pt" string="DØMI UM BRÆ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7094" w14:textId="77777777" w:rsidR="00EF1DC3" w:rsidRPr="00302B85" w:rsidRDefault="000B3C11">
    <w:pPr>
      <w:pStyle w:val="Sidehoved"/>
    </w:pPr>
    <w:r>
      <w:pict w14:anchorId="4AA164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19671" o:spid="_x0000_s1025" type="#_x0000_t136" style="position:absolute;margin-left:0;margin-top:0;width:552pt;height:127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ØMI UM BRÆ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B4"/>
    <w:rsid w:val="00020795"/>
    <w:rsid w:val="00047C72"/>
    <w:rsid w:val="00064AEA"/>
    <w:rsid w:val="000733A9"/>
    <w:rsid w:val="000B3C11"/>
    <w:rsid w:val="000D204A"/>
    <w:rsid w:val="000F112A"/>
    <w:rsid w:val="001539D4"/>
    <w:rsid w:val="0015651C"/>
    <w:rsid w:val="00165BFC"/>
    <w:rsid w:val="0017127C"/>
    <w:rsid w:val="00173109"/>
    <w:rsid w:val="00183F75"/>
    <w:rsid w:val="001A5078"/>
    <w:rsid w:val="001A79A8"/>
    <w:rsid w:val="001C5715"/>
    <w:rsid w:val="001D5FB4"/>
    <w:rsid w:val="00213705"/>
    <w:rsid w:val="00241611"/>
    <w:rsid w:val="00270957"/>
    <w:rsid w:val="002835D6"/>
    <w:rsid w:val="002B059E"/>
    <w:rsid w:val="002C41AB"/>
    <w:rsid w:val="002C47DE"/>
    <w:rsid w:val="002C7501"/>
    <w:rsid w:val="002E071B"/>
    <w:rsid w:val="00302B85"/>
    <w:rsid w:val="00303ADE"/>
    <w:rsid w:val="00321A5F"/>
    <w:rsid w:val="00334C24"/>
    <w:rsid w:val="003373FB"/>
    <w:rsid w:val="00342709"/>
    <w:rsid w:val="00354565"/>
    <w:rsid w:val="003655F8"/>
    <w:rsid w:val="00380490"/>
    <w:rsid w:val="0039072E"/>
    <w:rsid w:val="003948B1"/>
    <w:rsid w:val="003A1575"/>
    <w:rsid w:val="003A71B6"/>
    <w:rsid w:val="003D4B0D"/>
    <w:rsid w:val="003E436E"/>
    <w:rsid w:val="003E5A64"/>
    <w:rsid w:val="00414851"/>
    <w:rsid w:val="004423A9"/>
    <w:rsid w:val="00464698"/>
    <w:rsid w:val="004A5E7D"/>
    <w:rsid w:val="004A7DD3"/>
    <w:rsid w:val="004D469E"/>
    <w:rsid w:val="004D60AE"/>
    <w:rsid w:val="0050011F"/>
    <w:rsid w:val="00516770"/>
    <w:rsid w:val="00520864"/>
    <w:rsid w:val="005438E1"/>
    <w:rsid w:val="0055087C"/>
    <w:rsid w:val="00556EDA"/>
    <w:rsid w:val="00573AE3"/>
    <w:rsid w:val="00587A4A"/>
    <w:rsid w:val="0059106E"/>
    <w:rsid w:val="0059386F"/>
    <w:rsid w:val="00596512"/>
    <w:rsid w:val="005D5B64"/>
    <w:rsid w:val="005E69CD"/>
    <w:rsid w:val="00604605"/>
    <w:rsid w:val="00611ACE"/>
    <w:rsid w:val="0061237B"/>
    <w:rsid w:val="00615BD8"/>
    <w:rsid w:val="006270A3"/>
    <w:rsid w:val="00661483"/>
    <w:rsid w:val="0067138F"/>
    <w:rsid w:val="00674FA7"/>
    <w:rsid w:val="0069011F"/>
    <w:rsid w:val="006A5F12"/>
    <w:rsid w:val="006D00BE"/>
    <w:rsid w:val="006E18B6"/>
    <w:rsid w:val="0070514E"/>
    <w:rsid w:val="00706F31"/>
    <w:rsid w:val="0074453C"/>
    <w:rsid w:val="00745096"/>
    <w:rsid w:val="00761BE3"/>
    <w:rsid w:val="007708A0"/>
    <w:rsid w:val="00772F92"/>
    <w:rsid w:val="00787D61"/>
    <w:rsid w:val="007B5FF4"/>
    <w:rsid w:val="007C3188"/>
    <w:rsid w:val="007D27A3"/>
    <w:rsid w:val="007E26C6"/>
    <w:rsid w:val="007F3691"/>
    <w:rsid w:val="007F76DB"/>
    <w:rsid w:val="007F7BC4"/>
    <w:rsid w:val="008323E8"/>
    <w:rsid w:val="00844FB8"/>
    <w:rsid w:val="00850DD0"/>
    <w:rsid w:val="00862BFB"/>
    <w:rsid w:val="008806AB"/>
    <w:rsid w:val="008841F0"/>
    <w:rsid w:val="00892BB3"/>
    <w:rsid w:val="008A0A33"/>
    <w:rsid w:val="008A6127"/>
    <w:rsid w:val="008C765C"/>
    <w:rsid w:val="008E17D5"/>
    <w:rsid w:val="008E5DE1"/>
    <w:rsid w:val="008F614B"/>
    <w:rsid w:val="00903230"/>
    <w:rsid w:val="009049D6"/>
    <w:rsid w:val="00923357"/>
    <w:rsid w:val="00923841"/>
    <w:rsid w:val="00931556"/>
    <w:rsid w:val="009541BA"/>
    <w:rsid w:val="00956989"/>
    <w:rsid w:val="009671B6"/>
    <w:rsid w:val="00976030"/>
    <w:rsid w:val="00987F1C"/>
    <w:rsid w:val="009A63A0"/>
    <w:rsid w:val="009B013B"/>
    <w:rsid w:val="009B74D8"/>
    <w:rsid w:val="009D2741"/>
    <w:rsid w:val="009E32C7"/>
    <w:rsid w:val="009F0AF5"/>
    <w:rsid w:val="00A03D9B"/>
    <w:rsid w:val="00A15456"/>
    <w:rsid w:val="00A227F5"/>
    <w:rsid w:val="00A56C1C"/>
    <w:rsid w:val="00A60692"/>
    <w:rsid w:val="00A636E2"/>
    <w:rsid w:val="00A8711E"/>
    <w:rsid w:val="00AB400C"/>
    <w:rsid w:val="00AB533D"/>
    <w:rsid w:val="00AE5BED"/>
    <w:rsid w:val="00AF74BA"/>
    <w:rsid w:val="00B02E25"/>
    <w:rsid w:val="00B15AAA"/>
    <w:rsid w:val="00B16E76"/>
    <w:rsid w:val="00B23230"/>
    <w:rsid w:val="00B4291D"/>
    <w:rsid w:val="00B60E79"/>
    <w:rsid w:val="00B6399F"/>
    <w:rsid w:val="00B82A21"/>
    <w:rsid w:val="00B85CED"/>
    <w:rsid w:val="00B918AC"/>
    <w:rsid w:val="00B91B6F"/>
    <w:rsid w:val="00BD420B"/>
    <w:rsid w:val="00BE279A"/>
    <w:rsid w:val="00BE67C4"/>
    <w:rsid w:val="00BF2B69"/>
    <w:rsid w:val="00C047EE"/>
    <w:rsid w:val="00C12D6E"/>
    <w:rsid w:val="00C23726"/>
    <w:rsid w:val="00C3193A"/>
    <w:rsid w:val="00C327C8"/>
    <w:rsid w:val="00C44C88"/>
    <w:rsid w:val="00C47F16"/>
    <w:rsid w:val="00C779AE"/>
    <w:rsid w:val="00C8606E"/>
    <w:rsid w:val="00CA1DF4"/>
    <w:rsid w:val="00CC1A29"/>
    <w:rsid w:val="00D34C29"/>
    <w:rsid w:val="00D45B19"/>
    <w:rsid w:val="00D469FF"/>
    <w:rsid w:val="00D5530D"/>
    <w:rsid w:val="00D55502"/>
    <w:rsid w:val="00D60831"/>
    <w:rsid w:val="00D673CA"/>
    <w:rsid w:val="00DA7CA2"/>
    <w:rsid w:val="00DB168D"/>
    <w:rsid w:val="00DC3FD4"/>
    <w:rsid w:val="00DC4BFC"/>
    <w:rsid w:val="00DE402E"/>
    <w:rsid w:val="00DF1AB4"/>
    <w:rsid w:val="00DF6CC4"/>
    <w:rsid w:val="00E0292D"/>
    <w:rsid w:val="00E23ADC"/>
    <w:rsid w:val="00E36CBB"/>
    <w:rsid w:val="00E6357E"/>
    <w:rsid w:val="00E91669"/>
    <w:rsid w:val="00EA62EF"/>
    <w:rsid w:val="00EB52B2"/>
    <w:rsid w:val="00EF1DC3"/>
    <w:rsid w:val="00EF4835"/>
    <w:rsid w:val="00EF499C"/>
    <w:rsid w:val="00F077B9"/>
    <w:rsid w:val="00F40AC3"/>
    <w:rsid w:val="00F60D2B"/>
    <w:rsid w:val="00F61E18"/>
    <w:rsid w:val="00F77091"/>
    <w:rsid w:val="00F835DB"/>
    <w:rsid w:val="00F8791B"/>
    <w:rsid w:val="00F97D78"/>
    <w:rsid w:val="00FA6263"/>
    <w:rsid w:val="00FB7498"/>
    <w:rsid w:val="00FD0AF9"/>
    <w:rsid w:val="00FD7E27"/>
    <w:rsid w:val="00FE2E5E"/>
    <w:rsid w:val="00FE53A0"/>
    <w:rsid w:val="00FF4DB6"/>
    <w:rsid w:val="0764542C"/>
    <w:rsid w:val="090D55CD"/>
    <w:rsid w:val="0E9764CC"/>
    <w:rsid w:val="0F22CBD9"/>
    <w:rsid w:val="21A30E01"/>
    <w:rsid w:val="2393F587"/>
    <w:rsid w:val="2933E6B1"/>
    <w:rsid w:val="2E4FAF39"/>
    <w:rsid w:val="2EED91BB"/>
    <w:rsid w:val="2F2B4A26"/>
    <w:rsid w:val="322D39BC"/>
    <w:rsid w:val="332277E4"/>
    <w:rsid w:val="3366BCE0"/>
    <w:rsid w:val="359BEE43"/>
    <w:rsid w:val="38297105"/>
    <w:rsid w:val="399A1DA2"/>
    <w:rsid w:val="4936117D"/>
    <w:rsid w:val="4ABB28DC"/>
    <w:rsid w:val="52FCC1AB"/>
    <w:rsid w:val="60F859CA"/>
    <w:rsid w:val="6187BA15"/>
    <w:rsid w:val="6392ADFA"/>
    <w:rsid w:val="6E515197"/>
    <w:rsid w:val="6E622A69"/>
    <w:rsid w:val="72A892FA"/>
    <w:rsid w:val="799ABF47"/>
    <w:rsid w:val="7ECB24FC"/>
    <w:rsid w:val="7FA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324FF"/>
  <w15:chartTrackingRefBased/>
  <w15:docId w15:val="{2041C73C-BF20-4B69-BFA7-91FC33A2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F1AB4"/>
    <w:pPr>
      <w:keepNext/>
      <w:spacing w:before="204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F1AB4"/>
    <w:rPr>
      <w:rFonts w:ascii="Times New Roman" w:eastAsia="Times New Roman" w:hAnsi="Times New Roman" w:cs="Times New Roman"/>
      <w:b/>
      <w:kern w:val="28"/>
      <w:sz w:val="28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DF1AB4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F1AB4"/>
    <w:rPr>
      <w:rFonts w:ascii="Calibri" w:eastAsia="Calibri" w:hAnsi="Calibri" w:cs="Times New Roman"/>
      <w:lang w:val="da-DK"/>
    </w:rPr>
  </w:style>
  <w:style w:type="paragraph" w:customStyle="1" w:styleId="paragraftekst">
    <w:name w:val="paragraftekst"/>
    <w:basedOn w:val="Normal"/>
    <w:rsid w:val="003655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fo-FO"/>
    </w:rPr>
  </w:style>
  <w:style w:type="paragraph" w:customStyle="1" w:styleId="nummer">
    <w:name w:val="nummer"/>
    <w:basedOn w:val="Normal"/>
    <w:rsid w:val="003655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fo-FO"/>
    </w:rPr>
  </w:style>
  <w:style w:type="paragraph" w:customStyle="1" w:styleId="stk">
    <w:name w:val="stk"/>
    <w:basedOn w:val="Normal"/>
    <w:rsid w:val="003655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fo-FO"/>
    </w:rPr>
  </w:style>
  <w:style w:type="character" w:styleId="Hyperlink">
    <w:name w:val="Hyperlink"/>
    <w:basedOn w:val="Standardskrifttypeiafsnit"/>
    <w:uiPriority w:val="99"/>
    <w:unhideWhenUsed/>
    <w:rsid w:val="00A227F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27F5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03ADE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03ADE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03ADE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319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3193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3193A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319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193A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paragraph" w:styleId="Korrektur">
    <w:name w:val="Revision"/>
    <w:hidden/>
    <w:uiPriority w:val="99"/>
    <w:semiHidden/>
    <w:rsid w:val="00880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a-DK"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F61E18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61E18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76F1-FF7D-4816-B54E-E3E42982F6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4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Gunnleivsdóttir Hansen</dc:creator>
  <cp:keywords/>
  <dc:description/>
  <cp:lastModifiedBy>Erika Dortea Høgnadóttir Andersen</cp:lastModifiedBy>
  <cp:revision>2</cp:revision>
  <dcterms:created xsi:type="dcterms:W3CDTF">2024-10-23T13:35:00Z</dcterms:created>
  <dcterms:modified xsi:type="dcterms:W3CDTF">2024-10-23T13:35:00Z</dcterms:modified>
</cp:coreProperties>
</file>